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方正小标宋简体" w:cs="Times New Roman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成都住房公积金管理中心2021年公开招聘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编外人员职位表</w:t>
      </w:r>
    </w:p>
    <w:tbl>
      <w:tblPr>
        <w:tblStyle w:val="8"/>
        <w:tblpPr w:leftFromText="180" w:rightFromText="180" w:vertAnchor="text" w:horzAnchor="margin" w:tblpXSpec="center" w:tblpY="40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628"/>
        <w:gridCol w:w="2313"/>
        <w:gridCol w:w="102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5" w:type="dxa"/>
            <w:vMerge w:val="restart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招聘岗位</w:t>
            </w:r>
          </w:p>
        </w:tc>
        <w:tc>
          <w:tcPr>
            <w:tcW w:w="1628" w:type="dxa"/>
            <w:vMerge w:val="restart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招聘人数及工作地点</w:t>
            </w:r>
          </w:p>
        </w:tc>
        <w:tc>
          <w:tcPr>
            <w:tcW w:w="6310" w:type="dxa"/>
            <w:gridSpan w:val="3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75" w:type="dxa"/>
            <w:vMerge w:val="continue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28" w:type="dxa"/>
            <w:vMerge w:val="continue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313" w:type="dxa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专业要求</w:t>
            </w:r>
          </w:p>
        </w:tc>
        <w:tc>
          <w:tcPr>
            <w:tcW w:w="1020" w:type="dxa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学历要求</w:t>
            </w:r>
          </w:p>
        </w:tc>
        <w:tc>
          <w:tcPr>
            <w:tcW w:w="2977" w:type="dxa"/>
            <w:shd w:val="clear" w:color="auto" w:fill="95B3D7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业务政策岗</w:t>
            </w: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主城区3人</w:t>
            </w:r>
          </w:p>
        </w:tc>
        <w:tc>
          <w:tcPr>
            <w:tcW w:w="231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本科：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经济学类、财会审计类、统计学类、</w:t>
            </w:r>
            <w:r>
              <w:rPr>
                <w:rFonts w:ascii="Times New Roman" w:hAnsi="Times New Roman" w:cs="Times New Roman"/>
                <w:color w:val="333333"/>
              </w:rPr>
              <w:t>金融学类、经济与贸易类、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政治学类、</w:t>
            </w:r>
            <w:r>
              <w:rPr>
                <w:rFonts w:ascii="Times New Roman" w:hAnsi="Times New Roman" w:cs="Times New Roman"/>
                <w:color w:val="333333"/>
              </w:rPr>
              <w:t>中国语言文学类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、工商管理类、公共管理类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研究生：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应用经济学类、统计学类、理论经济学类、政治学类、中国语言文学类、工商管理类、公共管理类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1、40周岁及以下（1981年1月1日及以后出生）；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2、有长期从事综合文稿写作、调查研究等工作经历者优先；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3、具有金融、地产行业市场研究，数据统计分析应用研究5年以上工作经历者，不限专业。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项目贷款管理岗</w:t>
            </w: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主城区4人</w:t>
            </w:r>
          </w:p>
        </w:tc>
        <w:tc>
          <w:tcPr>
            <w:tcW w:w="231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本科：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经济学类、财会审计类、统计学类、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</w:rPr>
              <w:t>金融学类、经济与贸易类、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工商管理类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研究生：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应用经济学类、统计学类、理论经济学类</w:t>
            </w:r>
            <w:r>
              <w:rPr>
                <w:rFonts w:ascii="Times New Roman" w:hAnsi="Times New Roman" w:cs="Times New Roman"/>
                <w:b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工商管理类</w:t>
            </w: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1、40周岁及以下（1981年1月1日及以后出生）；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2、具有金融机构项目贷款受理审查或房地产开发公司财务、融资1年及以上工作经历。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综合业务受理岗</w:t>
            </w:r>
          </w:p>
        </w:tc>
        <w:tc>
          <w:tcPr>
            <w:tcW w:w="16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主城区13人、天府新区1人、龙泉驿1人、温江2人、邛崃2人、新津1人、新都1人、东部新区2人</w:t>
            </w:r>
          </w:p>
        </w:tc>
        <w:tc>
          <w:tcPr>
            <w:tcW w:w="2313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专科：</w:t>
            </w:r>
            <w:r>
              <w:rPr>
                <w:rFonts w:ascii="Times New Roman" w:hAnsi="Times New Roman" w:cs="Times New Roman"/>
                <w:szCs w:val="21"/>
              </w:rPr>
              <w:t>金融类、财务会计类、经济贸易类、工商管理类、计算机类、公共事业类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本科：</w:t>
            </w:r>
            <w:r>
              <w:rPr>
                <w:rFonts w:ascii="Times New Roman" w:hAnsi="Times New Roman" w:cs="Times New Roman"/>
                <w:szCs w:val="21"/>
              </w:rPr>
              <w:t>经济学类、金融学类、经济与贸易类、工商管理类、财会审计类、计算机类、法学类、社会学类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研究生：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应用经济学类、理论经济学类</w:t>
            </w:r>
            <w:r>
              <w:rPr>
                <w:rFonts w:ascii="Times New Roman" w:hAnsi="Times New Roman" w:cs="Times New Roman"/>
                <w:szCs w:val="21"/>
              </w:rPr>
              <w:t>、计算机科学与技术类、工商管理类、法学类、社会学类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专科及以上学历</w:t>
            </w:r>
          </w:p>
        </w:tc>
        <w:tc>
          <w:tcPr>
            <w:tcW w:w="2977" w:type="dxa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1、35周岁及以下（1986年1月1日及以后出生）；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2、在我中心有就业见习经历的高校毕业生，不限专业；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、具有公积金行业、商业银行、政务服务单位5年以上工作经历者，不限专业，年龄可放宽至40周岁及以下（1981年1月1日及以后出生）。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A11E8"/>
    <w:rsid w:val="19672D3E"/>
    <w:rsid w:val="1A090BF7"/>
    <w:rsid w:val="1B673FCA"/>
    <w:rsid w:val="200B5EEB"/>
    <w:rsid w:val="276F6ABC"/>
    <w:rsid w:val="34FC0A5F"/>
    <w:rsid w:val="45312E52"/>
    <w:rsid w:val="4EAC2B31"/>
    <w:rsid w:val="516E3A28"/>
    <w:rsid w:val="55B16CDC"/>
    <w:rsid w:val="5EDB7E0A"/>
    <w:rsid w:val="62E67C5F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4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5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2021-04-07T08:32:09Z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