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招聘岗位、数量及条件</w:t>
      </w:r>
    </w:p>
    <w:tbl>
      <w:tblPr>
        <w:tblStyle w:val="4"/>
        <w:tblW w:w="11596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2610"/>
        <w:gridCol w:w="754"/>
        <w:gridCol w:w="3260"/>
        <w:gridCol w:w="1557"/>
        <w:gridCol w:w="2784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会计学、财务管理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京内生源（报考者需具有北京市常住户口）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岗位管理服务与研究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劳动经济学、法学专业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培训规划服务与研究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劳动经济学、公共管理、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教育学专业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继续教育管理与研究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公共管理、法学专业、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教育学专业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计算机科学与技术、软件工程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京内生源（报考者需具有北京市常住户口）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党校管理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工商管理、公共管理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73FCA"/>
    <w:rsid w:val="4EAC2B31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2021-04-01T09:04:42Z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